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เอกสารที่ทางราชกาารออกให้ซึ่งแสดงว่าเป็นคนสัญชาติไทย เช่น หนังสือสำคัญการแปลงสัญชาติ ประกาศกระทรวงมหาดไทย สำเนาคำสั่งศาล หรือคำพิพากษา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กรณีคนที่ไม่มีสัญชาติไทยต่อมาได้รับสัญชาติไทยตามกฎหมาย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กรณีคนที่ไม่มีสัญชาติไทยต่อมาได้รับสัญชาติไทยตามกฎหมาย สำนักทะเบียนท้องถิ่นเทศบาลตำบลบ้านแท่น วิชาญ น้อยลา 24/08/2015 12:07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